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b/>
          <w:bCs/>
          <w:color w:val="1F3864"/>
          <w:sz w:val="32"/>
          <w:szCs w:val="32"/>
        </w:rPr>
        <w:t xml:space="preserve">ANÁLISIS DE VERIFICACIÓN</w:t>
      </w:r>
    </w:p>
    <w:p>
      <w:pPr>
        <w:spacing w:after="60"/>
        <w:jc w:val="center"/>
      </w:pPr>
      <w:r>
        <w:rPr>
          <w:b/>
          <w:bCs/>
          <w:sz w:val="24"/>
          <w:szCs w:val="24"/>
        </w:rPr>
        <w:t xml:space="preserve">Proyecto de Resolución Modificatoria de la Resolución CRA 1032 de 2026</w:t>
      </w:r>
    </w:p>
    <w:p>
      <w:pPr>
        <w:spacing w:after="300"/>
        <w:jc w:val="center"/>
      </w:pPr>
      <w:r>
        <w:rPr>
          <w:i/>
          <w:iCs/>
          <w:color w:val="595959"/>
          <w:sz w:val="20"/>
          <w:szCs w:val="20"/>
        </w:rPr>
        <w:t xml:space="preserve">Cotejo integral frente a las cuatro comunicaciones de respuesta a Empresas Públicas de Medellín E.S.P.</w:t>
      </w:r>
    </w:p>
    <w:p>
      <w:pPr>
        <w:pStyle w:val="Heading1"/>
        <w:spacing w:after="150" w:before="300"/>
      </w:pPr>
      <w:r>
        <w:t xml:space="preserve">1. Objetivo y alcance</w:t>
      </w:r>
    </w:p>
    <w:p>
      <w:pPr>
        <w:spacing w:after="150"/>
      </w:pPr>
      <w:r>
        <w:t xml:space="preserve">Verificar si el proyecto de resolución que modifica la Resolución CRA 1032 de 2026 (documento del 24 de julio de 2026, 37 artículos) recoge efectivamente las aclaraciones y compromisos normativos comunicados a Empresas Públicas de Medellín E.S.P. —EPM— en cuatro radicados de respuesta, e identificar qué queda pendiente.</w:t>
      </w:r>
    </w:p>
    <w:p>
      <w:pPr>
        <w:pStyle w:val="Heading1"/>
        <w:spacing w:after="150" w:before="300"/>
      </w:pPr>
      <w:r>
        <w:t xml:space="preserve">2. Resumen ejecutivo</w:t>
      </w:r>
    </w:p>
    <w:p>
      <w:pPr>
        <w:spacing w:after="150"/>
      </w:pPr>
      <w:r>
        <w:rPr>
          <w:b w:val="false"/>
          <w:bCs w:val="false"/>
        </w:rPr>
        <w:t xml:space="preserve">De 13 compromisos normativos explícitos identificados en las comunicaciones (frases del tipo “se corregirá/precisará mediante acto administrativo de igual jerarquía”), el proyecto resuelve 10. Quedan 2 compromisos sin incorporar, y se identificó un punto del proyecto cuya redacción parece invertir la lógica técnica que la propia Comisión le explicó a EPM, por lo que amerita revisión antes de publicar.</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E2EFDA" w:color="auto" w:val="clear"/>
            <w:tcMar>
              <w:top w:type="dxa" w:w="80"/>
              <w:left w:type="dxa" w:w="100"/>
              <w:bottom w:type="dxa" w:w="80"/>
              <w:right w:type="dxa" w:w="100"/>
            </w:tcMar>
          </w:tcPr>
          <w:p>
            <w:pPr>
              <w:jc w:val="center"/>
            </w:pPr>
            <w:r>
              <w:rPr>
                <w:b/>
                <w:bCs/>
                <w:sz w:val="19"/>
                <w:szCs w:val="19"/>
              </w:rPr>
              <w:t xml:space="preserve">Resueltos</w:t>
            </w:r>
          </w:p>
        </w:tc>
        <w:tc>
          <w:tcPr>
            <w:shd w:fill="FFF2CC" w:color="auto" w:val="clear"/>
            <w:tcMar>
              <w:top w:type="dxa" w:w="80"/>
              <w:left w:type="dxa" w:w="100"/>
              <w:bottom w:type="dxa" w:w="80"/>
              <w:right w:type="dxa" w:w="100"/>
            </w:tcMar>
          </w:tcPr>
          <w:p>
            <w:pPr>
              <w:jc w:val="center"/>
            </w:pPr>
            <w:r>
              <w:rPr>
                <w:b/>
                <w:bCs/>
                <w:sz w:val="19"/>
                <w:szCs w:val="19"/>
              </w:rPr>
              <w:t xml:space="preserve">Pendientes</w:t>
            </w:r>
          </w:p>
        </w:tc>
        <w:tc>
          <w:tcPr>
            <w:shd w:fill="FCE4E4" w:color="auto" w:val="clear"/>
            <w:tcMar>
              <w:top w:type="dxa" w:w="80"/>
              <w:left w:type="dxa" w:w="100"/>
              <w:bottom w:type="dxa" w:w="80"/>
              <w:right w:type="dxa" w:w="100"/>
            </w:tcMar>
          </w:tcPr>
          <w:p>
            <w:pPr>
              <w:jc w:val="center"/>
            </w:pPr>
            <w:r>
              <w:rPr>
                <w:b/>
                <w:bCs/>
                <w:sz w:val="19"/>
                <w:szCs w:val="19"/>
              </w:rPr>
              <w:t xml:space="preserve">Requieren revisión</w:t>
            </w:r>
          </w:p>
        </w:tc>
      </w:tr>
      <w:tr>
        <w:tc>
          <w:tcPr>
            <w:shd w:fill="E2EFDA" w:color="auto" w:val="clear"/>
            <w:tcMar>
              <w:top w:type="dxa" w:w="80"/>
              <w:left w:type="dxa" w:w="100"/>
              <w:bottom w:type="dxa" w:w="80"/>
              <w:right w:type="dxa" w:w="100"/>
            </w:tcMar>
          </w:tcPr>
          <w:p>
            <w:pPr>
              <w:jc w:val="center"/>
            </w:pPr>
            <w:r>
              <w:rPr>
                <w:b w:val="false"/>
                <w:bCs w:val="false"/>
                <w:sz w:val="19"/>
                <w:szCs w:val="19"/>
              </w:rPr>
              <w:t xml:space="preserve">10 de 13</w:t>
            </w:r>
          </w:p>
        </w:tc>
        <w:tc>
          <w:tcPr>
            <w:shd w:fill="FFF2CC" w:color="auto" w:val="clear"/>
            <w:tcMar>
              <w:top w:type="dxa" w:w="80"/>
              <w:left w:type="dxa" w:w="100"/>
              <w:bottom w:type="dxa" w:w="80"/>
              <w:right w:type="dxa" w:w="100"/>
            </w:tcMar>
          </w:tcPr>
          <w:p>
            <w:pPr>
              <w:jc w:val="center"/>
            </w:pPr>
            <w:r>
              <w:rPr>
                <w:b w:val="false"/>
                <w:bCs w:val="false"/>
                <w:sz w:val="19"/>
                <w:szCs w:val="19"/>
              </w:rPr>
              <w:t xml:space="preserve">2 de 13</w:t>
            </w:r>
          </w:p>
        </w:tc>
        <w:tc>
          <w:tcPr>
            <w:shd w:fill="FCE4E4" w:color="auto" w:val="clear"/>
            <w:tcMar>
              <w:top w:type="dxa" w:w="80"/>
              <w:left w:type="dxa" w:w="100"/>
              <w:bottom w:type="dxa" w:w="80"/>
              <w:right w:type="dxa" w:w="100"/>
            </w:tcMar>
          </w:tcPr>
          <w:p>
            <w:pPr>
              <w:jc w:val="center"/>
            </w:pPr>
            <w:r>
              <w:rPr>
                <w:b w:val="false"/>
                <w:bCs w:val="false"/>
                <w:sz w:val="19"/>
                <w:szCs w:val="19"/>
              </w:rPr>
              <w:t xml:space="preserve">1 (posible inversión de lógica — tolerancia IPUF 20%)</w:t>
            </w:r>
          </w:p>
        </w:tc>
      </w:tr>
    </w:tbl>
    <w:p>
      <w:pPr>
        <w:pStyle w:val="Heading1"/>
        <w:spacing w:after="150" w:before="300"/>
      </w:pPr>
      <w:r>
        <w:t xml:space="preserve">3. Resultado por comunicación</w:t>
      </w:r>
    </w:p>
    <w:p>
      <w:pPr>
        <w:pStyle w:val="Heading2"/>
        <w:spacing w:after="120" w:before="250"/>
      </w:pPr>
      <w:r>
        <w:t xml:space="preserve">3.1. Radicado CRA 2026-321-005998-2 (prestadores sin CCU / interconexión)</w:t>
      </w:r>
    </w:p>
    <w:p>
      <w:pPr>
        <w:spacing w:after="150"/>
      </w:pPr>
      <w:r>
        <w:t xml:space="preserve">Concepto puramente interpretativo: no compromete ningún ajuste al articulado. No requiere cambios en el proyecto y, en efecto, no se modifica. El proyecto sí incorpora, de forma complementaria, un nuevo componente tarifario (CMCSAPI) para contratos de suministro/interconexión (arts. 4° y 29° a 32°), consistente con la lógica explicada a EPM sobre este tema.</w:t>
      </w:r>
    </w:p>
    <w:p>
      <w:pPr>
        <w:pStyle w:val="Heading2"/>
        <w:spacing w:after="120" w:before="250"/>
      </w:pPr>
      <w:r>
        <w:t xml:space="preserve">3.2. Radicado CRA 2026-321-007790-2 (Aguas Nacionales EPM — traslado MinAmbiente)</w:t>
      </w:r>
    </w:p>
    <w:p>
      <w:pPr>
        <w:spacing w:after="150"/>
      </w:pPr>
      <w:r>
        <w:t xml:space="preserve">Es una comunicación de remisión que reenvía una respuesta ya emitida en otro radicado (CRA 20260300091991). No contiene aclaraciones sustantivas propias que verificar.</w:t>
      </w:r>
    </w:p>
    <w:p>
      <w:pPr>
        <w:pStyle w:val="Heading2"/>
        <w:spacing w:after="120" w:before="250"/>
      </w:pPr>
      <w:r>
        <w:t xml:space="preserve">3.3. Radicado CRA 2026-321-006891-2 (10 ejes temáticos: CCP, IPUF, TESSPA, costos ambientales, servidumbres, etc.)</w:t>
      </w:r>
    </w:p>
    <w:p>
      <w:pPr>
        <w:spacing w:after="150"/>
      </w:pPr>
      <w:r>
        <w:t xml:space="preserve">De los 10 ejes temáticos (con más de 25 preguntas puntuales), solo uno comprometió un ajuste normativo: la precisión de la tolerancia del 20% en el cumplimiento de la meta del IPUF (art. 2.1.2.1.3.3.1, parágrafo 3, num. 4). El resto de las respuestas son interpretativas y no requerían cambios de texto.</w:t>
      </w:r>
    </w:p>
    <w:p>
      <w:pPr>
        <w:spacing w:after="150"/>
      </w:pPr>
      <w:r>
        <w:t xml:space="preserve">El punto que sí se tocó (art. 12° del proyecto) presenta una posible inconsistencia —ver sección 6—.</w:t>
      </w:r>
    </w:p>
    <w:p>
      <w:pPr>
        <w:pStyle w:val="Heading2"/>
        <w:spacing w:after="120" w:before="250"/>
      </w:pPr>
      <w:r>
        <w:t xml:space="preserve">3.4. Radicado CRA 2026-321-006891-2 V2 (46 solicitudes — el bloque con mayor número de compromisos)</w:t>
      </w:r>
    </w:p>
    <w:p>
      <w:pPr>
        <w:spacing w:after="150"/>
      </w:pPr>
      <w:r>
        <w:t xml:space="preserve">De las 46 solicitudes, 13 generaron un compromiso explícito de modificación normativa. El resto son aclaraciones interpretativas sin compromiso de ajuste al articulado.</w:t>
      </w:r>
    </w:p>
    <w:p>
      <w:pPr>
        <w:pStyle w:val="Heading1"/>
        <w:spacing w:after="150" w:before="300"/>
      </w:pPr>
      <w:r>
        <w:t xml:space="preserve">4. Puntos resueltos en el proyecto (10)</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rPr>
          <w:tblHeader/>
        </w:trPr>
        <w:tc>
          <w:tcPr>
            <w:tcW w:type="dxa" w:w="500"/>
            <w:shd w:fill="1F3864" w:color="auto" w:val="clear"/>
            <w:tcMar>
              <w:top w:type="dxa" w:w="80"/>
              <w:left w:type="dxa" w:w="100"/>
              <w:bottom w:type="dxa" w:w="80"/>
              <w:right w:type="dxa" w:w="100"/>
            </w:tcMar>
          </w:tcPr>
          <w:p>
            <w:pPr>
              <w:jc w:val="center"/>
            </w:pPr>
            <w:r>
              <w:rPr>
                <w:b/>
                <w:bCs/>
                <w:sz w:val="19"/>
                <w:szCs w:val="19"/>
              </w:rPr>
              <w:t xml:space="preserve">#</w:t>
            </w:r>
          </w:p>
        </w:tc>
        <w:tc>
          <w:tcPr>
            <w:tcW w:type="dxa" w:w="3600"/>
            <w:shd w:fill="1F3864" w:color="auto" w:val="clear"/>
            <w:tcMar>
              <w:top w:type="dxa" w:w="80"/>
              <w:left w:type="dxa" w:w="100"/>
              <w:bottom w:type="dxa" w:w="80"/>
              <w:right w:type="dxa" w:w="100"/>
            </w:tcMar>
          </w:tcPr>
          <w:p>
            <w:pPr>
              <w:jc w:val="center"/>
            </w:pPr>
            <w:r>
              <w:rPr>
                <w:b/>
                <w:bCs/>
                <w:sz w:val="19"/>
                <w:szCs w:val="19"/>
              </w:rPr>
              <w:t xml:space="preserve">Compromiso con EPM</w:t>
            </w:r>
          </w:p>
        </w:tc>
        <w:tc>
          <w:tcPr>
            <w:tcW w:type="dxa" w:w="1900"/>
            <w:shd w:fill="1F3864" w:color="auto" w:val="clear"/>
            <w:tcMar>
              <w:top w:type="dxa" w:w="80"/>
              <w:left w:type="dxa" w:w="100"/>
              <w:bottom w:type="dxa" w:w="80"/>
              <w:right w:type="dxa" w:w="100"/>
            </w:tcMar>
          </w:tcPr>
          <w:p>
            <w:pPr>
              <w:jc w:val="center"/>
            </w:pPr>
            <w:r>
              <w:rPr>
                <w:b/>
                <w:bCs/>
                <w:sz w:val="19"/>
                <w:szCs w:val="19"/>
              </w:rPr>
              <w:t xml:space="preserve">Artículo original</w:t>
            </w:r>
          </w:p>
        </w:tc>
        <w:tc>
          <w:tcPr>
            <w:tcW w:type="dxa" w:w="3350"/>
            <w:shd w:fill="1F3864" w:color="auto" w:val="clear"/>
            <w:tcMar>
              <w:top w:type="dxa" w:w="80"/>
              <w:left w:type="dxa" w:w="100"/>
              <w:bottom w:type="dxa" w:w="80"/>
              <w:right w:type="dxa" w:w="100"/>
            </w:tcMar>
          </w:tcPr>
          <w:p>
            <w:pPr>
              <w:jc w:val="center"/>
            </w:pPr>
            <w:r>
              <w:rPr>
                <w:b/>
                <w:bCs/>
                <w:sz w:val="19"/>
                <w:szCs w:val="19"/>
              </w:rPr>
              <w:t xml:space="preserve">Solución en el proyecto</w:t>
            </w:r>
          </w:p>
        </w:tc>
      </w:tr>
      <w:tr>
        <w:tc>
          <w:tcPr>
            <w:tcW w:type="dxa" w:w="500"/>
            <w:shd w:fill="F2F2F2" w:color="auto" w:val="clear"/>
            <w:tcMar>
              <w:top w:type="dxa" w:w="80"/>
              <w:left w:type="dxa" w:w="100"/>
              <w:bottom w:type="dxa" w:w="80"/>
              <w:right w:type="dxa" w:w="100"/>
            </w:tcMar>
          </w:tcPr>
          <w:p>
            <w:pPr>
              <w:jc w:val="left"/>
            </w:pPr>
            <w:r>
              <w:rPr>
                <w:b w:val="false"/>
                <w:bCs w:val="false"/>
                <w:sz w:val="19"/>
                <w:szCs w:val="19"/>
              </w:rPr>
              <w:t xml:space="preserve">1</w:t>
            </w:r>
          </w:p>
        </w:tc>
        <w:tc>
          <w:tcPr>
            <w:tcW w:type="dxa" w:w="3600"/>
            <w:shd w:fill="F2F2F2" w:color="auto" w:val="clear"/>
            <w:tcMar>
              <w:top w:type="dxa" w:w="80"/>
              <w:left w:type="dxa" w:w="100"/>
              <w:bottom w:type="dxa" w:w="80"/>
              <w:right w:type="dxa" w:w="100"/>
            </w:tcMar>
          </w:tcPr>
          <w:p>
            <w:pPr>
              <w:jc w:val="left"/>
            </w:pPr>
            <w:r>
              <w:rPr>
                <w:b w:val="false"/>
                <w:bCs w:val="false"/>
                <w:sz w:val="19"/>
                <w:szCs w:val="19"/>
              </w:rPr>
              <w:t xml:space="preserve">Glosario/EDU “áreas de difícil acceso” inconsistente con art. 2.1.2.1.1.7 y literal b) art. 2.1.2.1.3.1.5</w:t>
            </w:r>
          </w:p>
        </w:tc>
        <w:tc>
          <w:tcPr>
            <w:tcW w:type="dxa" w:w="1900"/>
            <w:shd w:fill="F2F2F2" w:color="auto" w:val="clear"/>
            <w:tcMar>
              <w:top w:type="dxa" w:w="80"/>
              <w:left w:type="dxa" w:w="100"/>
              <w:bottom w:type="dxa" w:w="80"/>
              <w:right w:type="dxa" w:w="100"/>
            </w:tcMar>
          </w:tcPr>
          <w:p>
            <w:pPr>
              <w:jc w:val="left"/>
            </w:pPr>
            <w:r>
              <w:rPr>
                <w:b w:val="false"/>
                <w:bCs w:val="false"/>
                <w:sz w:val="19"/>
                <w:szCs w:val="19"/>
              </w:rPr>
              <w:t xml:space="preserve">2.1.2.1.3.1.5</w:t>
            </w:r>
          </w:p>
        </w:tc>
        <w:tc>
          <w:tcPr>
            <w:tcW w:type="dxa" w:w="3350"/>
            <w:shd w:fill="F2F2F2" w:color="auto" w:val="clear"/>
            <w:tcMar>
              <w:top w:type="dxa" w:w="80"/>
              <w:left w:type="dxa" w:w="100"/>
              <w:bottom w:type="dxa" w:w="80"/>
              <w:right w:type="dxa" w:w="100"/>
            </w:tcMar>
          </w:tcPr>
          <w:p>
            <w:pPr>
              <w:jc w:val="left"/>
            </w:pPr>
            <w:r>
              <w:rPr>
                <w:b w:val="false"/>
                <w:bCs w:val="false"/>
                <w:sz w:val="19"/>
                <w:szCs w:val="19"/>
              </w:rPr>
              <w:t xml:space="preserve">Art. 5° — se reestructuró el literal; el término mal usado desapareció del texto</w:t>
            </w:r>
          </w:p>
        </w:tc>
      </w:tr>
      <w:tr>
        <w:tc>
          <w:tcPr>
            <w:tcW w:type="dxa" w:w="500"/>
            <w:shd w:fill="FFFFFF" w:color="auto" w:val="clear"/>
            <w:tcMar>
              <w:top w:type="dxa" w:w="80"/>
              <w:left w:type="dxa" w:w="100"/>
              <w:bottom w:type="dxa" w:w="80"/>
              <w:right w:type="dxa" w:w="100"/>
            </w:tcMar>
          </w:tcPr>
          <w:p>
            <w:pPr>
              <w:jc w:val="left"/>
            </w:pPr>
            <w:r>
              <w:rPr>
                <w:b w:val="false"/>
                <w:bCs w:val="false"/>
                <w:sz w:val="19"/>
                <w:szCs w:val="19"/>
              </w:rPr>
              <w:t xml:space="preserve">2</w:t>
            </w:r>
          </w:p>
        </w:tc>
        <w:tc>
          <w:tcPr>
            <w:tcW w:type="dxa" w:w="3600"/>
            <w:shd w:fill="FFFFFF" w:color="auto" w:val="clear"/>
            <w:tcMar>
              <w:top w:type="dxa" w:w="80"/>
              <w:left w:type="dxa" w:w="100"/>
              <w:bottom w:type="dxa" w:w="80"/>
              <w:right w:type="dxa" w:w="100"/>
            </w:tcMar>
          </w:tcPr>
          <w:p>
            <w:pPr>
              <w:jc w:val="left"/>
            </w:pPr>
            <w:r>
              <w:rPr>
                <w:b w:val="false"/>
                <w:bCs w:val="false"/>
                <w:sz w:val="19"/>
                <w:szCs w:val="19"/>
              </w:rPr>
              <w:t xml:space="preserve">Cita residual errónea “2.1.2.1.1.9” en el parágrafo 3</w:t>
            </w:r>
          </w:p>
        </w:tc>
        <w:tc>
          <w:tcPr>
            <w:tcW w:type="dxa" w:w="1900"/>
            <w:shd w:fill="FFFFFF" w:color="auto" w:val="clear"/>
            <w:tcMar>
              <w:top w:type="dxa" w:w="80"/>
              <w:left w:type="dxa" w:w="100"/>
              <w:bottom w:type="dxa" w:w="80"/>
              <w:right w:type="dxa" w:w="100"/>
            </w:tcMar>
          </w:tcPr>
          <w:p>
            <w:pPr>
              <w:jc w:val="left"/>
            </w:pPr>
            <w:r>
              <w:rPr>
                <w:b w:val="false"/>
                <w:bCs w:val="false"/>
                <w:sz w:val="19"/>
                <w:szCs w:val="19"/>
              </w:rPr>
              <w:t xml:space="preserve">2.1.2.1.3.5.2</w:t>
            </w:r>
          </w:p>
        </w:tc>
        <w:tc>
          <w:tcPr>
            <w:tcW w:type="dxa" w:w="3350"/>
            <w:shd w:fill="FFFFFF" w:color="auto" w:val="clear"/>
            <w:tcMar>
              <w:top w:type="dxa" w:w="80"/>
              <w:left w:type="dxa" w:w="100"/>
              <w:bottom w:type="dxa" w:w="80"/>
              <w:right w:type="dxa" w:w="100"/>
            </w:tcMar>
          </w:tcPr>
          <w:p>
            <w:pPr>
              <w:jc w:val="left"/>
            </w:pPr>
            <w:r>
              <w:rPr>
                <w:b w:val="false"/>
                <w:bCs w:val="false"/>
                <w:sz w:val="19"/>
                <w:szCs w:val="19"/>
              </w:rPr>
              <w:t xml:space="preserve">Art. 17° — referencia corregida, ya solo cita el art. 2.1.2.1.3.1.5</w:t>
            </w:r>
          </w:p>
        </w:tc>
      </w:tr>
      <w:tr>
        <w:tc>
          <w:tcPr>
            <w:tcW w:type="dxa" w:w="500"/>
            <w:shd w:fill="F2F2F2" w:color="auto" w:val="clear"/>
            <w:tcMar>
              <w:top w:type="dxa" w:w="80"/>
              <w:left w:type="dxa" w:w="100"/>
              <w:bottom w:type="dxa" w:w="80"/>
              <w:right w:type="dxa" w:w="100"/>
            </w:tcMar>
          </w:tcPr>
          <w:p>
            <w:pPr>
              <w:jc w:val="left"/>
            </w:pPr>
            <w:r>
              <w:rPr>
                <w:b w:val="false"/>
                <w:bCs w:val="false"/>
                <w:sz w:val="19"/>
                <w:szCs w:val="19"/>
              </w:rPr>
              <w:t xml:space="preserve">3</w:t>
            </w:r>
          </w:p>
        </w:tc>
        <w:tc>
          <w:tcPr>
            <w:tcW w:type="dxa" w:w="3600"/>
            <w:shd w:fill="F2F2F2" w:color="auto" w:val="clear"/>
            <w:tcMar>
              <w:top w:type="dxa" w:w="80"/>
              <w:left w:type="dxa" w:w="100"/>
              <w:bottom w:type="dxa" w:w="80"/>
              <w:right w:type="dxa" w:w="100"/>
            </w:tcMar>
          </w:tcPr>
          <w:p>
            <w:pPr>
              <w:jc w:val="left"/>
            </w:pPr>
            <w:r>
              <w:rPr>
                <w:b w:val="false"/>
                <w:bCs w:val="false"/>
                <w:sz w:val="19"/>
                <w:szCs w:val="19"/>
              </w:rPr>
              <w:t xml:space="preserve">fa₀ no contemplaba año base distinto a 2014/2016 (mercados regionales)</w:t>
            </w:r>
          </w:p>
        </w:tc>
        <w:tc>
          <w:tcPr>
            <w:tcW w:type="dxa" w:w="1900"/>
            <w:shd w:fill="F2F2F2" w:color="auto" w:val="clear"/>
            <w:tcMar>
              <w:top w:type="dxa" w:w="80"/>
              <w:left w:type="dxa" w:w="100"/>
              <w:bottom w:type="dxa" w:w="80"/>
              <w:right w:type="dxa" w:w="100"/>
            </w:tcMar>
          </w:tcPr>
          <w:p>
            <w:pPr>
              <w:jc w:val="left"/>
            </w:pPr>
            <w:r>
              <w:rPr>
                <w:b w:val="false"/>
                <w:bCs w:val="false"/>
                <w:sz w:val="19"/>
                <w:szCs w:val="19"/>
              </w:rPr>
              <w:t xml:space="preserve">2.1.2.1.3.5.5 y 2.1.2.1.3.5.8</w:t>
            </w:r>
          </w:p>
        </w:tc>
        <w:tc>
          <w:tcPr>
            <w:tcW w:type="dxa" w:w="3350"/>
            <w:shd w:fill="F2F2F2" w:color="auto" w:val="clear"/>
            <w:tcMar>
              <w:top w:type="dxa" w:w="80"/>
              <w:left w:type="dxa" w:w="100"/>
              <w:bottom w:type="dxa" w:w="80"/>
              <w:right w:type="dxa" w:w="100"/>
            </w:tcMar>
          </w:tcPr>
          <w:p>
            <w:pPr>
              <w:jc w:val="left"/>
            </w:pPr>
            <w:r>
              <w:rPr>
                <w:b w:val="false"/>
                <w:bCs w:val="false"/>
                <w:sz w:val="19"/>
                <w:szCs w:val="19"/>
              </w:rPr>
              <w:t xml:space="preserve">Art. 19°/20° — ahora incluye “...o del año base aplicado por el mercado regional declarado”</w:t>
            </w:r>
          </w:p>
        </w:tc>
      </w:tr>
      <w:tr>
        <w:tc>
          <w:tcPr>
            <w:tcW w:type="dxa" w:w="500"/>
            <w:shd w:fill="FFFFFF" w:color="auto" w:val="clear"/>
            <w:tcMar>
              <w:top w:type="dxa" w:w="80"/>
              <w:left w:type="dxa" w:w="100"/>
              <w:bottom w:type="dxa" w:w="80"/>
              <w:right w:type="dxa" w:w="100"/>
            </w:tcMar>
          </w:tcPr>
          <w:p>
            <w:pPr>
              <w:jc w:val="left"/>
            </w:pPr>
            <w:r>
              <w:rPr>
                <w:b w:val="false"/>
                <w:bCs w:val="false"/>
                <w:sz w:val="19"/>
                <w:szCs w:val="19"/>
              </w:rPr>
              <w:t xml:space="preserve">4</w:t>
            </w:r>
          </w:p>
        </w:tc>
        <w:tc>
          <w:tcPr>
            <w:tcW w:type="dxa" w:w="3600"/>
            <w:shd w:fill="FFFFFF" w:color="auto" w:val="clear"/>
            <w:tcMar>
              <w:top w:type="dxa" w:w="80"/>
              <w:left w:type="dxa" w:w="100"/>
              <w:bottom w:type="dxa" w:w="80"/>
              <w:right w:type="dxa" w:w="100"/>
            </w:tcMar>
          </w:tcPr>
          <w:p>
            <w:pPr>
              <w:jc w:val="left"/>
            </w:pPr>
            <w:r>
              <w:rPr>
                <w:b w:val="false"/>
                <w:bCs w:val="false"/>
                <w:sz w:val="19"/>
                <w:szCs w:val="19"/>
              </w:rPr>
              <w:t xml:space="preserve">Variable “per” mantenía un valor residual de 3, inconsistente con “AT”</w:t>
            </w:r>
          </w:p>
        </w:tc>
        <w:tc>
          <w:tcPr>
            <w:tcW w:type="dxa" w:w="1900"/>
            <w:shd w:fill="FFFFFF" w:color="auto" w:val="clear"/>
            <w:tcMar>
              <w:top w:type="dxa" w:w="80"/>
              <w:left w:type="dxa" w:w="100"/>
              <w:bottom w:type="dxa" w:w="80"/>
              <w:right w:type="dxa" w:w="100"/>
            </w:tcMar>
          </w:tcPr>
          <w:p>
            <w:pPr>
              <w:jc w:val="left"/>
            </w:pPr>
            <w:r>
              <w:rPr>
                <w:b w:val="false"/>
                <w:bCs w:val="false"/>
                <w:sz w:val="19"/>
                <w:szCs w:val="19"/>
              </w:rPr>
              <w:t xml:space="preserve">2.1.2.1.3.5.10</w:t>
            </w:r>
          </w:p>
        </w:tc>
        <w:tc>
          <w:tcPr>
            <w:tcW w:type="dxa" w:w="3350"/>
            <w:shd w:fill="FFFFFF" w:color="auto" w:val="clear"/>
            <w:tcMar>
              <w:top w:type="dxa" w:w="80"/>
              <w:left w:type="dxa" w:w="100"/>
              <w:bottom w:type="dxa" w:w="80"/>
              <w:right w:type="dxa" w:w="100"/>
            </w:tcMar>
          </w:tcPr>
          <w:p>
            <w:pPr>
              <w:jc w:val="left"/>
            </w:pPr>
            <w:r>
              <w:rPr>
                <w:b w:val="false"/>
                <w:bCs w:val="false"/>
                <w:sz w:val="19"/>
                <w:szCs w:val="19"/>
              </w:rPr>
              <w:t xml:space="preserve">Art. 21° — solo quedan los valores 2 (primer recálculo) y 1 (años siguientes)</w:t>
            </w:r>
          </w:p>
        </w:tc>
      </w:tr>
      <w:tr>
        <w:tc>
          <w:tcPr>
            <w:tcW w:type="dxa" w:w="500"/>
            <w:shd w:fill="F2F2F2" w:color="auto" w:val="clear"/>
            <w:tcMar>
              <w:top w:type="dxa" w:w="80"/>
              <w:left w:type="dxa" w:w="100"/>
              <w:bottom w:type="dxa" w:w="80"/>
              <w:right w:type="dxa" w:w="100"/>
            </w:tcMar>
          </w:tcPr>
          <w:p>
            <w:pPr>
              <w:jc w:val="left"/>
            </w:pPr>
            <w:r>
              <w:rPr>
                <w:b w:val="false"/>
                <w:bCs w:val="false"/>
                <w:sz w:val="19"/>
                <w:szCs w:val="19"/>
              </w:rPr>
              <w:t xml:space="preserve">5</w:t>
            </w:r>
          </w:p>
        </w:tc>
        <w:tc>
          <w:tcPr>
            <w:tcW w:type="dxa" w:w="3600"/>
            <w:shd w:fill="F2F2F2" w:color="auto" w:val="clear"/>
            <w:tcMar>
              <w:top w:type="dxa" w:w="80"/>
              <w:left w:type="dxa" w:w="100"/>
              <w:bottom w:type="dxa" w:w="80"/>
              <w:right w:type="dxa" w:w="100"/>
            </w:tcMar>
          </w:tcPr>
          <w:p>
            <w:pPr>
              <w:jc w:val="left"/>
            </w:pPr>
            <w:r>
              <w:rPr>
                <w:b w:val="false"/>
                <w:bCs w:val="false"/>
                <w:sz w:val="19"/>
                <w:szCs w:val="19"/>
              </w:rPr>
              <w:t xml:space="preserve">Variable IE825,j,i,ac/al sin precisar el año de entrada en operación efectiva</w:t>
            </w:r>
          </w:p>
        </w:tc>
        <w:tc>
          <w:tcPr>
            <w:tcW w:type="dxa" w:w="1900"/>
            <w:shd w:fill="F2F2F2" w:color="auto" w:val="clear"/>
            <w:tcMar>
              <w:top w:type="dxa" w:w="80"/>
              <w:left w:type="dxa" w:w="100"/>
              <w:bottom w:type="dxa" w:w="80"/>
              <w:right w:type="dxa" w:w="100"/>
            </w:tcMar>
          </w:tcPr>
          <w:p>
            <w:pPr>
              <w:jc w:val="left"/>
            </w:pPr>
            <w:r>
              <w:rPr>
                <w:b w:val="false"/>
                <w:bCs w:val="false"/>
                <w:sz w:val="19"/>
                <w:szCs w:val="19"/>
              </w:rPr>
              <w:t xml:space="preserve">2.1.2.1.3.5.8</w:t>
            </w:r>
          </w:p>
        </w:tc>
        <w:tc>
          <w:tcPr>
            <w:tcW w:type="dxa" w:w="3350"/>
            <w:shd w:fill="F2F2F2" w:color="auto" w:val="clear"/>
            <w:tcMar>
              <w:top w:type="dxa" w:w="80"/>
              <w:left w:type="dxa" w:w="100"/>
              <w:bottom w:type="dxa" w:w="80"/>
              <w:right w:type="dxa" w:w="100"/>
            </w:tcMar>
          </w:tcPr>
          <w:p>
            <w:pPr>
              <w:jc w:val="left"/>
            </w:pPr>
            <w:r>
              <w:rPr>
                <w:b w:val="false"/>
                <w:bCs w:val="false"/>
                <w:sz w:val="19"/>
                <w:szCs w:val="19"/>
              </w:rPr>
              <w:t xml:space="preserve">Art. 20° — redacción precisada</w:t>
            </w:r>
          </w:p>
        </w:tc>
      </w:tr>
      <w:tr>
        <w:tc>
          <w:tcPr>
            <w:tcW w:type="dxa" w:w="500"/>
            <w:shd w:fill="FFFFFF" w:color="auto" w:val="clear"/>
            <w:tcMar>
              <w:top w:type="dxa" w:w="80"/>
              <w:left w:type="dxa" w:w="100"/>
              <w:bottom w:type="dxa" w:w="80"/>
              <w:right w:type="dxa" w:w="100"/>
            </w:tcMar>
          </w:tcPr>
          <w:p>
            <w:pPr>
              <w:jc w:val="left"/>
            </w:pPr>
            <w:r>
              <w:rPr>
                <w:b w:val="false"/>
                <w:bCs w:val="false"/>
                <w:sz w:val="19"/>
                <w:szCs w:val="19"/>
              </w:rPr>
              <w:t xml:space="preserve">6</w:t>
            </w:r>
          </w:p>
        </w:tc>
        <w:tc>
          <w:tcPr>
            <w:tcW w:type="dxa" w:w="3600"/>
            <w:shd w:fill="FFFFFF" w:color="auto" w:val="clear"/>
            <w:tcMar>
              <w:top w:type="dxa" w:w="80"/>
              <w:left w:type="dxa" w:w="100"/>
              <w:bottom w:type="dxa" w:w="80"/>
              <w:right w:type="dxa" w:w="100"/>
            </w:tcMar>
          </w:tcPr>
          <w:p>
            <w:pPr>
              <w:jc w:val="left"/>
            </w:pPr>
            <w:r>
              <w:rPr>
                <w:b w:val="false"/>
                <w:bCs w:val="false"/>
                <w:sz w:val="19"/>
                <w:szCs w:val="19"/>
              </w:rPr>
              <w:t xml:space="preserve">Activos omitidos en tablas de clasificación: terrenos, maquinaria y equipo operativo, centro de control de alcantarillado</w:t>
            </w:r>
          </w:p>
        </w:tc>
        <w:tc>
          <w:tcPr>
            <w:tcW w:type="dxa" w:w="1900"/>
            <w:shd w:fill="FFFFFF" w:color="auto" w:val="clear"/>
            <w:tcMar>
              <w:top w:type="dxa" w:w="80"/>
              <w:left w:type="dxa" w:w="100"/>
              <w:bottom w:type="dxa" w:w="80"/>
              <w:right w:type="dxa" w:w="100"/>
            </w:tcMar>
          </w:tcPr>
          <w:p>
            <w:pPr>
              <w:jc w:val="left"/>
            </w:pPr>
            <w:r>
              <w:rPr>
                <w:b w:val="false"/>
                <w:bCs w:val="false"/>
                <w:sz w:val="19"/>
                <w:szCs w:val="19"/>
              </w:rPr>
              <w:t xml:space="preserve">2.1.2.1.3.5.13</w:t>
            </w:r>
          </w:p>
        </w:tc>
        <w:tc>
          <w:tcPr>
            <w:tcW w:type="dxa" w:w="3350"/>
            <w:shd w:fill="FFFFFF" w:color="auto" w:val="clear"/>
            <w:tcMar>
              <w:top w:type="dxa" w:w="80"/>
              <w:left w:type="dxa" w:w="100"/>
              <w:bottom w:type="dxa" w:w="80"/>
              <w:right w:type="dxa" w:w="100"/>
            </w:tcMar>
          </w:tcPr>
          <w:p>
            <w:pPr>
              <w:jc w:val="left"/>
            </w:pPr>
            <w:r>
              <w:rPr>
                <w:b w:val="false"/>
                <w:bCs w:val="false"/>
                <w:sz w:val="19"/>
                <w:szCs w:val="19"/>
              </w:rPr>
              <w:t xml:space="preserve">Art. 23° — los tres tipos de activos se incorporaron expresamente en las tablas</w:t>
            </w:r>
          </w:p>
        </w:tc>
      </w:tr>
      <w:tr>
        <w:tc>
          <w:tcPr>
            <w:tcW w:type="dxa" w:w="500"/>
            <w:shd w:fill="F2F2F2" w:color="auto" w:val="clear"/>
            <w:tcMar>
              <w:top w:type="dxa" w:w="80"/>
              <w:left w:type="dxa" w:w="100"/>
              <w:bottom w:type="dxa" w:w="80"/>
              <w:right w:type="dxa" w:w="100"/>
            </w:tcMar>
          </w:tcPr>
          <w:p>
            <w:pPr>
              <w:jc w:val="left"/>
            </w:pPr>
            <w:r>
              <w:rPr>
                <w:b w:val="false"/>
                <w:bCs w:val="false"/>
                <w:sz w:val="19"/>
                <w:szCs w:val="19"/>
              </w:rPr>
              <w:t xml:space="preserve">7</w:t>
            </w:r>
          </w:p>
        </w:tc>
        <w:tc>
          <w:tcPr>
            <w:tcW w:type="dxa" w:w="3600"/>
            <w:shd w:fill="F2F2F2" w:color="auto" w:val="clear"/>
            <w:tcMar>
              <w:top w:type="dxa" w:w="80"/>
              <w:left w:type="dxa" w:w="100"/>
              <w:bottom w:type="dxa" w:w="80"/>
              <w:right w:type="dxa" w:w="100"/>
            </w:tcMar>
          </w:tcPr>
          <w:p>
            <w:pPr>
              <w:jc w:val="left"/>
            </w:pPr>
            <w:r>
              <w:rPr>
                <w:b w:val="false"/>
                <w:bCs w:val="false"/>
                <w:sz w:val="19"/>
                <w:szCs w:val="19"/>
              </w:rPr>
              <w:t xml:space="preserve">Definición de VPR0,j,ac/al ambigua respecto al saldo pendiente por recuperar</w:t>
            </w:r>
          </w:p>
        </w:tc>
        <w:tc>
          <w:tcPr>
            <w:tcW w:type="dxa" w:w="1900"/>
            <w:shd w:fill="F2F2F2" w:color="auto" w:val="clear"/>
            <w:tcMar>
              <w:top w:type="dxa" w:w="80"/>
              <w:left w:type="dxa" w:w="100"/>
              <w:bottom w:type="dxa" w:w="80"/>
              <w:right w:type="dxa" w:w="100"/>
            </w:tcMar>
          </w:tcPr>
          <w:p>
            <w:pPr>
              <w:jc w:val="left"/>
            </w:pPr>
            <w:r>
              <w:rPr>
                <w:b w:val="false"/>
                <w:bCs w:val="false"/>
                <w:sz w:val="19"/>
                <w:szCs w:val="19"/>
              </w:rPr>
              <w:t xml:space="preserve">2.1.2.1.3.5.5 y 2.1.2.1.3.5.8</w:t>
            </w:r>
          </w:p>
        </w:tc>
        <w:tc>
          <w:tcPr>
            <w:tcW w:type="dxa" w:w="3350"/>
            <w:shd w:fill="F2F2F2" w:color="auto" w:val="clear"/>
            <w:tcMar>
              <w:top w:type="dxa" w:w="80"/>
              <w:left w:type="dxa" w:w="100"/>
              <w:bottom w:type="dxa" w:w="80"/>
              <w:right w:type="dxa" w:w="100"/>
            </w:tcMar>
          </w:tcPr>
          <w:p>
            <w:pPr>
              <w:jc w:val="left"/>
            </w:pPr>
            <w:r>
              <w:rPr>
                <w:b w:val="false"/>
                <w:bCs w:val="false"/>
                <w:sz w:val="19"/>
                <w:szCs w:val="19"/>
              </w:rPr>
              <w:t xml:space="preserve">Art. 19°/20° — redacción precisada, coherente con la respuesta a EPM</w:t>
            </w:r>
          </w:p>
        </w:tc>
      </w:tr>
      <w:tr>
        <w:tc>
          <w:tcPr>
            <w:tcW w:type="dxa" w:w="500"/>
            <w:shd w:fill="FFFFFF" w:color="auto" w:val="clear"/>
            <w:tcMar>
              <w:top w:type="dxa" w:w="80"/>
              <w:left w:type="dxa" w:w="100"/>
              <w:bottom w:type="dxa" w:w="80"/>
              <w:right w:type="dxa" w:w="100"/>
            </w:tcMar>
          </w:tcPr>
          <w:p>
            <w:pPr>
              <w:jc w:val="left"/>
            </w:pPr>
            <w:r>
              <w:rPr>
                <w:b w:val="false"/>
                <w:bCs w:val="false"/>
                <w:sz w:val="19"/>
                <w:szCs w:val="19"/>
              </w:rPr>
              <w:t xml:space="preserve">8</w:t>
            </w:r>
          </w:p>
        </w:tc>
        <w:tc>
          <w:tcPr>
            <w:tcW w:type="dxa" w:w="3600"/>
            <w:shd w:fill="FFFFFF" w:color="auto" w:val="clear"/>
            <w:tcMar>
              <w:top w:type="dxa" w:w="80"/>
              <w:left w:type="dxa" w:w="100"/>
              <w:bottom w:type="dxa" w:w="80"/>
              <w:right w:type="dxa" w:w="100"/>
            </w:tcMar>
          </w:tcPr>
          <w:p>
            <w:pPr>
              <w:jc w:val="left"/>
            </w:pPr>
            <w:r>
              <w:rPr>
                <w:b w:val="false"/>
                <w:bCs w:val="false"/>
                <w:sz w:val="19"/>
                <w:szCs w:val="19"/>
              </w:rPr>
              <w:t xml:space="preserve">Término “dimensión” generó confusión en criterios de identificación de activos</w:t>
            </w:r>
          </w:p>
        </w:tc>
        <w:tc>
          <w:tcPr>
            <w:tcW w:type="dxa" w:w="1900"/>
            <w:shd w:fill="FFFFFF" w:color="auto" w:val="clear"/>
            <w:tcMar>
              <w:top w:type="dxa" w:w="80"/>
              <w:left w:type="dxa" w:w="100"/>
              <w:bottom w:type="dxa" w:w="80"/>
              <w:right w:type="dxa" w:w="100"/>
            </w:tcMar>
          </w:tcPr>
          <w:p>
            <w:pPr>
              <w:jc w:val="left"/>
            </w:pPr>
            <w:r>
              <w:rPr>
                <w:b w:val="false"/>
                <w:bCs w:val="false"/>
                <w:sz w:val="19"/>
                <w:szCs w:val="19"/>
              </w:rPr>
              <w:t xml:space="preserve">2.1.2.1.3.5.18, num. 7 lit. A</w:t>
            </w:r>
          </w:p>
        </w:tc>
        <w:tc>
          <w:tcPr>
            <w:tcW w:type="dxa" w:w="3350"/>
            <w:shd w:fill="FFFFFF" w:color="auto" w:val="clear"/>
            <w:tcMar>
              <w:top w:type="dxa" w:w="80"/>
              <w:left w:type="dxa" w:w="100"/>
              <w:bottom w:type="dxa" w:w="80"/>
              <w:right w:type="dxa" w:w="100"/>
            </w:tcMar>
          </w:tcPr>
          <w:p>
            <w:pPr>
              <w:jc w:val="left"/>
            </w:pPr>
            <w:r>
              <w:rPr>
                <w:b w:val="false"/>
                <w:bCs w:val="false"/>
                <w:sz w:val="19"/>
                <w:szCs w:val="19"/>
              </w:rPr>
              <w:t xml:space="preserve">Art. 27° — se sustituyó literalmente por “Estándar de servicio”</w:t>
            </w:r>
          </w:p>
        </w:tc>
      </w:tr>
      <w:tr>
        <w:tc>
          <w:tcPr>
            <w:tcW w:type="dxa" w:w="500"/>
            <w:shd w:fill="F2F2F2" w:color="auto" w:val="clear"/>
            <w:tcMar>
              <w:top w:type="dxa" w:w="80"/>
              <w:left w:type="dxa" w:w="100"/>
              <w:bottom w:type="dxa" w:w="80"/>
              <w:right w:type="dxa" w:w="100"/>
            </w:tcMar>
          </w:tcPr>
          <w:p>
            <w:pPr>
              <w:jc w:val="left"/>
            </w:pPr>
            <w:r>
              <w:rPr>
                <w:b w:val="false"/>
                <w:bCs w:val="false"/>
                <w:sz w:val="19"/>
                <w:szCs w:val="19"/>
              </w:rPr>
              <w:t xml:space="preserve">9</w:t>
            </w:r>
          </w:p>
        </w:tc>
        <w:tc>
          <w:tcPr>
            <w:tcW w:type="dxa" w:w="3600"/>
            <w:shd w:fill="F2F2F2" w:color="auto" w:val="clear"/>
            <w:tcMar>
              <w:top w:type="dxa" w:w="80"/>
              <w:left w:type="dxa" w:w="100"/>
              <w:bottom w:type="dxa" w:w="80"/>
              <w:right w:type="dxa" w:w="100"/>
            </w:tcMar>
          </w:tcPr>
          <w:p>
            <w:pPr>
              <w:jc w:val="left"/>
            </w:pPr>
            <w:r>
              <w:rPr>
                <w:b w:val="false"/>
                <w:bCs w:val="false"/>
                <w:sz w:val="19"/>
                <w:szCs w:val="19"/>
              </w:rPr>
              <w:t xml:space="preserve">Ambigüedad en el uso de “deberá” respecto al carácter opcional del CMI_POIR</w:t>
            </w:r>
          </w:p>
        </w:tc>
        <w:tc>
          <w:tcPr>
            <w:tcW w:type="dxa" w:w="1900"/>
            <w:shd w:fill="F2F2F2" w:color="auto" w:val="clear"/>
            <w:tcMar>
              <w:top w:type="dxa" w:w="80"/>
              <w:left w:type="dxa" w:w="100"/>
              <w:bottom w:type="dxa" w:w="80"/>
              <w:right w:type="dxa" w:w="100"/>
            </w:tcMar>
          </w:tcPr>
          <w:p>
            <w:pPr>
              <w:jc w:val="left"/>
            </w:pPr>
            <w:r>
              <w:rPr>
                <w:b w:val="false"/>
                <w:bCs w:val="false"/>
                <w:sz w:val="19"/>
                <w:szCs w:val="19"/>
              </w:rPr>
              <w:t xml:space="preserve">2.1.2.1.3.5.14, parágrafo 1</w:t>
            </w:r>
          </w:p>
        </w:tc>
        <w:tc>
          <w:tcPr>
            <w:tcW w:type="dxa" w:w="3350"/>
            <w:shd w:fill="F2F2F2" w:color="auto" w:val="clear"/>
            <w:tcMar>
              <w:top w:type="dxa" w:w="80"/>
              <w:left w:type="dxa" w:w="100"/>
              <w:bottom w:type="dxa" w:w="80"/>
              <w:right w:type="dxa" w:w="100"/>
            </w:tcMar>
          </w:tcPr>
          <w:p>
            <w:pPr>
              <w:jc w:val="left"/>
            </w:pPr>
            <w:r>
              <w:rPr>
                <w:b w:val="false"/>
                <w:bCs w:val="false"/>
                <w:sz w:val="19"/>
                <w:szCs w:val="19"/>
              </w:rPr>
              <w:t xml:space="preserve">Art. 24° — ahora dice expresamente “quienes opten por incluir el CMI_POIR...”</w:t>
            </w:r>
          </w:p>
        </w:tc>
      </w:tr>
      <w:tr>
        <w:tc>
          <w:tcPr>
            <w:tcW w:type="dxa" w:w="500"/>
            <w:shd w:fill="FFFFFF" w:color="auto" w:val="clear"/>
            <w:tcMar>
              <w:top w:type="dxa" w:w="80"/>
              <w:left w:type="dxa" w:w="100"/>
              <w:bottom w:type="dxa" w:w="80"/>
              <w:right w:type="dxa" w:w="100"/>
            </w:tcMar>
          </w:tcPr>
          <w:p>
            <w:pPr>
              <w:jc w:val="left"/>
            </w:pPr>
            <w:r>
              <w:rPr>
                <w:b w:val="false"/>
                <w:bCs w:val="false"/>
                <w:sz w:val="19"/>
                <w:szCs w:val="19"/>
              </w:rPr>
              <w:t xml:space="preserve">10</w:t>
            </w:r>
          </w:p>
        </w:tc>
        <w:tc>
          <w:tcPr>
            <w:tcW w:type="dxa" w:w="3600"/>
            <w:shd w:fill="FFFFFF" w:color="auto" w:val="clear"/>
            <w:tcMar>
              <w:top w:type="dxa" w:w="80"/>
              <w:left w:type="dxa" w:w="100"/>
              <w:bottom w:type="dxa" w:w="80"/>
              <w:right w:type="dxa" w:w="100"/>
            </w:tcMar>
          </w:tcPr>
          <w:p>
            <w:pPr>
              <w:jc w:val="left"/>
            </w:pPr>
            <w:r>
              <w:rPr>
                <w:b w:val="false"/>
                <w:bCs w:val="false"/>
                <w:sz w:val="19"/>
                <w:szCs w:val="19"/>
              </w:rPr>
              <w:t xml:space="preserve">Inconsistencia de variables VCIal(TL) vs. VCIal(R) en la fórmula del CMA por subsistema</w:t>
            </w:r>
          </w:p>
        </w:tc>
        <w:tc>
          <w:tcPr>
            <w:tcW w:type="dxa" w:w="1900"/>
            <w:shd w:fill="FFFFFF" w:color="auto" w:val="clear"/>
            <w:tcMar>
              <w:top w:type="dxa" w:w="80"/>
              <w:left w:type="dxa" w:w="100"/>
              <w:bottom w:type="dxa" w:w="80"/>
              <w:right w:type="dxa" w:w="100"/>
            </w:tcMar>
          </w:tcPr>
          <w:p>
            <w:pPr>
              <w:jc w:val="left"/>
            </w:pPr>
            <w:r>
              <w:rPr>
                <w:b w:val="false"/>
                <w:bCs w:val="false"/>
                <w:sz w:val="19"/>
                <w:szCs w:val="19"/>
              </w:rPr>
              <w:t xml:space="preserve">2.1.2.1.4.2.3</w:t>
            </w:r>
          </w:p>
        </w:tc>
        <w:tc>
          <w:tcPr>
            <w:tcW w:type="dxa" w:w="3350"/>
            <w:shd w:fill="FFFFFF" w:color="auto" w:val="clear"/>
            <w:tcMar>
              <w:top w:type="dxa" w:w="80"/>
              <w:left w:type="dxa" w:w="100"/>
              <w:bottom w:type="dxa" w:w="80"/>
              <w:right w:type="dxa" w:w="100"/>
            </w:tcMar>
          </w:tcPr>
          <w:p>
            <w:pPr>
              <w:jc w:val="left"/>
            </w:pPr>
            <w:r>
              <w:rPr>
                <w:b w:val="false"/>
                <w:bCs w:val="false"/>
                <w:sz w:val="19"/>
                <w:szCs w:val="19"/>
              </w:rPr>
              <w:t xml:space="preserve">Art. 33° — se reestructuró integralmente el capítulo 4 con notación consistente (S, T, D / R, TL, DF)</w:t>
            </w:r>
          </w:p>
        </w:tc>
      </w:tr>
    </w:tbl>
    <w:p>
      <w:pPr>
        <w:spacing w:after="200"/>
      </w:pPr>
    </w:p>
    <w:p>
      <w:pPr>
        <w:pStyle w:val="Heading1"/>
        <w:spacing w:after="150" w:before="300"/>
      </w:pPr>
      <w:r>
        <w:t xml:space="preserve">5. Puntos pendientes — comprometidos a EPM pero no incorporados (2)</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rPr>
          <w:tblHeader/>
        </w:trPr>
        <w:tc>
          <w:tcPr>
            <w:tcW w:type="dxa" w:w="500"/>
            <w:shd w:fill="1F3864" w:color="auto" w:val="clear"/>
            <w:tcMar>
              <w:top w:type="dxa" w:w="80"/>
              <w:left w:type="dxa" w:w="100"/>
              <w:bottom w:type="dxa" w:w="80"/>
              <w:right w:type="dxa" w:w="100"/>
            </w:tcMar>
          </w:tcPr>
          <w:p>
            <w:pPr>
              <w:jc w:val="center"/>
            </w:pPr>
            <w:r>
              <w:rPr>
                <w:b/>
                <w:bCs/>
                <w:sz w:val="19"/>
                <w:szCs w:val="19"/>
              </w:rPr>
              <w:t xml:space="preserve">#</w:t>
            </w:r>
          </w:p>
        </w:tc>
        <w:tc>
          <w:tcPr>
            <w:tcW w:type="dxa" w:w="3600"/>
            <w:shd w:fill="1F3864" w:color="auto" w:val="clear"/>
            <w:tcMar>
              <w:top w:type="dxa" w:w="80"/>
              <w:left w:type="dxa" w:w="100"/>
              <w:bottom w:type="dxa" w:w="80"/>
              <w:right w:type="dxa" w:w="100"/>
            </w:tcMar>
          </w:tcPr>
          <w:p>
            <w:pPr>
              <w:jc w:val="center"/>
            </w:pPr>
            <w:r>
              <w:rPr>
                <w:b/>
                <w:bCs/>
                <w:sz w:val="19"/>
                <w:szCs w:val="19"/>
              </w:rPr>
              <w:t xml:space="preserve">Compromiso con EPM</w:t>
            </w:r>
          </w:p>
        </w:tc>
        <w:tc>
          <w:tcPr>
            <w:tcW w:type="dxa" w:w="1900"/>
            <w:shd w:fill="1F3864" w:color="auto" w:val="clear"/>
            <w:tcMar>
              <w:top w:type="dxa" w:w="80"/>
              <w:left w:type="dxa" w:w="100"/>
              <w:bottom w:type="dxa" w:w="80"/>
              <w:right w:type="dxa" w:w="100"/>
            </w:tcMar>
          </w:tcPr>
          <w:p>
            <w:pPr>
              <w:jc w:val="center"/>
            </w:pPr>
            <w:r>
              <w:rPr>
                <w:b/>
                <w:bCs/>
                <w:sz w:val="19"/>
                <w:szCs w:val="19"/>
              </w:rPr>
              <w:t xml:space="preserve">Artículo</w:t>
            </w:r>
          </w:p>
        </w:tc>
        <w:tc>
          <w:tcPr>
            <w:tcW w:type="dxa" w:w="3350"/>
            <w:shd w:fill="1F3864" w:color="auto" w:val="clear"/>
            <w:tcMar>
              <w:top w:type="dxa" w:w="80"/>
              <w:left w:type="dxa" w:w="100"/>
              <w:bottom w:type="dxa" w:w="80"/>
              <w:right w:type="dxa" w:w="100"/>
            </w:tcMar>
          </w:tcPr>
          <w:p>
            <w:pPr>
              <w:jc w:val="center"/>
            </w:pPr>
            <w:r>
              <w:rPr>
                <w:b/>
                <w:bCs/>
                <w:sz w:val="19"/>
                <w:szCs w:val="19"/>
              </w:rPr>
              <w:t xml:space="preserve">Estado en el proyecto</w:t>
            </w:r>
          </w:p>
        </w:tc>
      </w:tr>
      <w:tr>
        <w:tc>
          <w:tcPr>
            <w:tcW w:type="dxa" w:w="500"/>
            <w:shd w:fill="F2F2F2" w:color="auto" w:val="clear"/>
            <w:tcMar>
              <w:top w:type="dxa" w:w="80"/>
              <w:left w:type="dxa" w:w="100"/>
              <w:bottom w:type="dxa" w:w="80"/>
              <w:right w:type="dxa" w:w="100"/>
            </w:tcMar>
          </w:tcPr>
          <w:p>
            <w:pPr>
              <w:jc w:val="left"/>
            </w:pPr>
            <w:r>
              <w:rPr>
                <w:b w:val="false"/>
                <w:bCs w:val="false"/>
                <w:sz w:val="19"/>
                <w:szCs w:val="19"/>
              </w:rPr>
              <w:t xml:space="preserve">A</w:t>
            </w:r>
          </w:p>
        </w:tc>
        <w:tc>
          <w:tcPr>
            <w:tcW w:type="dxa" w:w="3600"/>
            <w:shd w:fill="F2F2F2" w:color="auto" w:val="clear"/>
            <w:tcMar>
              <w:top w:type="dxa" w:w="80"/>
              <w:left w:type="dxa" w:w="100"/>
              <w:bottom w:type="dxa" w:w="80"/>
              <w:right w:type="dxa" w:w="100"/>
            </w:tcMar>
          </w:tcPr>
          <w:p>
            <w:pPr>
              <w:jc w:val="left"/>
            </w:pPr>
            <w:r>
              <w:rPr>
                <w:b w:val="false"/>
                <w:bCs w:val="false"/>
                <w:sz w:val="19"/>
                <w:szCs w:val="19"/>
              </w:rPr>
              <w:t xml:space="preserve">Error de transcripción: literal b) parágrafo 4 se refiere al “costo unitario de energía” cuando debe decir “costo unitario de los insumos químicos”</w:t>
            </w:r>
          </w:p>
        </w:tc>
        <w:tc>
          <w:tcPr>
            <w:tcW w:type="dxa" w:w="1900"/>
            <w:shd w:fill="F2F2F2" w:color="auto" w:val="clear"/>
            <w:tcMar>
              <w:top w:type="dxa" w:w="80"/>
              <w:left w:type="dxa" w:w="100"/>
              <w:bottom w:type="dxa" w:w="80"/>
              <w:right w:type="dxa" w:w="100"/>
            </w:tcMar>
          </w:tcPr>
          <w:p>
            <w:pPr>
              <w:jc w:val="left"/>
            </w:pPr>
            <w:r>
              <w:rPr>
                <w:b w:val="false"/>
                <w:bCs w:val="false"/>
                <w:sz w:val="19"/>
                <w:szCs w:val="19"/>
              </w:rPr>
              <w:t xml:space="preserve">2.1.2.1.3.4.7</w:t>
            </w:r>
          </w:p>
        </w:tc>
        <w:tc>
          <w:tcPr>
            <w:tcW w:type="dxa" w:w="3350"/>
            <w:shd w:fill="F2F2F2" w:color="auto" w:val="clear"/>
            <w:tcMar>
              <w:top w:type="dxa" w:w="80"/>
              <w:left w:type="dxa" w:w="100"/>
              <w:bottom w:type="dxa" w:w="80"/>
              <w:right w:type="dxa" w:w="100"/>
            </w:tcMar>
          </w:tcPr>
          <w:p>
            <w:pPr>
              <w:jc w:val="left"/>
            </w:pPr>
            <w:r>
              <w:rPr>
                <w:b w:val="false"/>
                <w:bCs w:val="false"/>
                <w:sz w:val="19"/>
                <w:szCs w:val="19"/>
              </w:rPr>
              <w:t xml:space="preserve">No aparece modificado en ningún artículo del proyecto. Ni el artículo ni el término “insumos químicos” se mencionan en el texto revisado.</w:t>
            </w:r>
          </w:p>
        </w:tc>
      </w:tr>
      <w:tr>
        <w:tc>
          <w:tcPr>
            <w:tcW w:type="dxa" w:w="500"/>
            <w:shd w:fill="FFFFFF" w:color="auto" w:val="clear"/>
            <w:tcMar>
              <w:top w:type="dxa" w:w="80"/>
              <w:left w:type="dxa" w:w="100"/>
              <w:bottom w:type="dxa" w:w="80"/>
              <w:right w:type="dxa" w:w="100"/>
            </w:tcMar>
          </w:tcPr>
          <w:p>
            <w:pPr>
              <w:jc w:val="left"/>
            </w:pPr>
            <w:r>
              <w:rPr>
                <w:b w:val="false"/>
                <w:bCs w:val="false"/>
                <w:sz w:val="19"/>
                <w:szCs w:val="19"/>
              </w:rPr>
              <w:t xml:space="preserve">B</w:t>
            </w:r>
          </w:p>
        </w:tc>
        <w:tc>
          <w:tcPr>
            <w:tcW w:type="dxa" w:w="3600"/>
            <w:shd w:fill="FFFFFF" w:color="auto" w:val="clear"/>
            <w:tcMar>
              <w:top w:type="dxa" w:w="80"/>
              <w:left w:type="dxa" w:w="100"/>
              <w:bottom w:type="dxa" w:w="80"/>
              <w:right w:type="dxa" w:w="100"/>
            </w:tcMar>
          </w:tcPr>
          <w:p>
            <w:pPr>
              <w:jc w:val="left"/>
            </w:pPr>
            <w:r>
              <w:rPr>
                <w:b w:val="false"/>
                <w:bCs w:val="false"/>
                <w:sz w:val="19"/>
                <w:szCs w:val="19"/>
              </w:rPr>
              <w:t xml:space="preserve">Extensión explícita del reconocimiento de inversiones ambientales y de gestión del riesgo (VI_IAR0) al servicio de alcantarillado</w:t>
            </w:r>
          </w:p>
        </w:tc>
        <w:tc>
          <w:tcPr>
            <w:tcW w:type="dxa" w:w="1900"/>
            <w:shd w:fill="FFFFFF" w:color="auto" w:val="clear"/>
            <w:tcMar>
              <w:top w:type="dxa" w:w="80"/>
              <w:left w:type="dxa" w:w="100"/>
              <w:bottom w:type="dxa" w:w="80"/>
              <w:right w:type="dxa" w:w="100"/>
            </w:tcMar>
          </w:tcPr>
          <w:p>
            <w:pPr>
              <w:jc w:val="left"/>
            </w:pPr>
            <w:r>
              <w:rPr>
                <w:b w:val="false"/>
                <w:bCs w:val="false"/>
                <w:sz w:val="19"/>
                <w:szCs w:val="19"/>
              </w:rPr>
              <w:t xml:space="preserve">2.1.2.1.3.5.6</w:t>
            </w:r>
          </w:p>
        </w:tc>
        <w:tc>
          <w:tcPr>
            <w:tcW w:type="dxa" w:w="3350"/>
            <w:shd w:fill="FFFFFF" w:color="auto" w:val="clear"/>
            <w:tcMar>
              <w:top w:type="dxa" w:w="80"/>
              <w:left w:type="dxa" w:w="100"/>
              <w:bottom w:type="dxa" w:w="80"/>
              <w:right w:type="dxa" w:w="100"/>
            </w:tcMar>
          </w:tcPr>
          <w:p>
            <w:pPr>
              <w:jc w:val="left"/>
            </w:pPr>
            <w:r>
              <w:rPr>
                <w:b w:val="false"/>
                <w:bCs w:val="false"/>
                <w:sz w:val="19"/>
                <w:szCs w:val="19"/>
              </w:rPr>
              <w:t xml:space="preserve">El artículo solo aparece citado como referencia cruzada en otros artículos (18°, 19°); no existe un artículo que lo modifique directamente en el proyecto.</w:t>
            </w:r>
          </w:p>
        </w:tc>
      </w:tr>
    </w:tbl>
    <w:p>
      <w:pPr>
        <w:pStyle w:val="Heading1"/>
        <w:spacing w:after="150" w:before="300"/>
      </w:pPr>
      <w:r>
        <w:t xml:space="preserve">6. Punto que amerita revisión técnica antes de publicar</w:t>
      </w:r>
    </w:p>
    <w:p>
      <w:pPr>
        <w:spacing w:after="150"/>
      </w:pPr>
      <w:r>
        <w:rPr>
          <w:b/>
          <w:bCs/>
        </w:rPr>
        <w:t xml:space="preserve">Artículo 12° del proyecto — modifica el parágrafo 3, numeral 4, literal c) del artículo 2.1.2.1.3.3.1 (tolerancia del 20% en el cumplimiento de la meta del IPUF).</w:t>
      </w:r>
    </w:p>
    <w:p>
      <w:pPr>
        <w:spacing w:after="150"/>
      </w:pPr>
      <w:r>
        <w:t xml:space="preserve">Texto del proyecto:</w:t>
      </w:r>
    </w:p>
    <w:p>
      <w:pPr>
        <w:spacing w:after="150"/>
        <w:ind w:left="400"/>
      </w:pPr>
      <w:r>
        <w:rPr>
          <w:i/>
          <w:iCs/>
        </w:rPr>
        <w:t xml:space="preserve">“Se entenderá como cumplida la meta cuando el resultado del IPUF real sea igual o superior al IPUF planeado (...). Cuando el IPUF real sea inferior al IPUF planeado, la meta se entenderá cumplida siempre que la desviación no exceda el veinte por ciento (20%) respecto del valor planeado.”</w:t>
      </w:r>
    </w:p>
    <w:p>
      <w:pPr>
        <w:spacing w:after="150"/>
      </w:pPr>
      <w:r>
        <w:t xml:space="preserve">Esto parece invertido respecto de la explicación que la propia Comisión le dio a EPM en la comunicación, donde se indicó expresamente que:</w:t>
      </w:r>
    </w:p>
    <w:p>
      <w:pPr>
        <w:pStyle w:val="ListParagraph"/>
        <w:numPr>
          <w:ilvl w:val="0"/>
          <w:numId w:val="1"/>
        </w:numPr>
        <w:spacing w:after="80"/>
      </w:pPr>
      <w:r>
        <w:t xml:space="preserve">Un IPUF real MENOR al planeado (menos pérdidas de las previstas) es “cumplimiento por desempeño superior” y debería considerarse automáticamente cumplido, sin necesidad de tolerancia.</w:t>
      </w:r>
    </w:p>
    <w:p>
      <w:pPr>
        <w:pStyle w:val="ListParagraph"/>
        <w:numPr>
          <w:ilvl w:val="0"/>
          <w:numId w:val="1"/>
        </w:numPr>
        <w:spacing w:after="80"/>
      </w:pPr>
      <w:r>
        <w:t xml:space="preserve">La tolerancia del 20% debería aplicar “exclusivamente cuando el IPUF real excede al IPUF planeado” (peor desempeño que el previsto).</w:t>
      </w:r>
    </w:p>
    <w:p>
      <w:pPr>
        <w:spacing w:after="150"/>
      </w:pPr>
      <w:r>
        <w:rPr>
          <w:b/>
          <w:bCs/>
        </w:rPr>
        <w:t xml:space="preserve">Tal como quedó redactado el artículo 12°, la tolerancia del 20% se aplica cuando el IPUF real es INFERIOR al planeado (el escenario que se describió como automáticamente cumplido), y no cuando lo excede. Se recomienda que el equipo técnico y jurídico de la Comisión verifique esta redacción antes de la publicación del proyecto, para evitar una contradicción entre el articulado y el concepto ya comunicado a EPM.</w:t>
      </w:r>
    </w:p>
    <w:p>
      <w:pPr>
        <w:pStyle w:val="Heading1"/>
        <w:spacing w:after="150" w:before="300"/>
      </w:pPr>
      <w:r>
        <w:t xml:space="preserve">7. Conclusión</w:t>
      </w:r>
    </w:p>
    <w:p>
      <w:pPr>
        <w:spacing w:after="150"/>
      </w:pPr>
      <w:r>
        <w:t xml:space="preserve">El proyecto de resolución modificatoria recoge de manera adecuada la gran mayoría de los compromisos normativos asumidos frente a EPM (10 de 13), incluyendo los seis puntos priorizados inicialmente. Restan por incorporar dos ajustes puntuales (arts. 2.1.2.1.3.4.7 y 2.1.2.1.3.5.6) y por revisar la redacción del artículo 12° relacionada con la tolerancia del IPUF, antes de que el proyecto se someta a consulta pública.</w:t>
      </w:r>
    </w:p>
    <w:sectPr>
      <w:pgSz w:w="12240" w:h="15840" w:orient="portrait"/>
      <w:pgMar w:top="1000" w:right="1100" w:bottom="1000" w:left="11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3864" w:sz="6" w:space="4"/>
      </w:pBdr>
      <w:spacing w:after="150" w:before="300"/>
    </w:pPr>
    <w:rPr>
      <w:rFonts w:ascii="Calibri" w:cs="Calibri" w:eastAsia="Calibri" w:hAnsi="Calibri"/>
      <w:b/>
      <w:bCs/>
      <w:color w:val="1F3864"/>
      <w:sz w:val="28"/>
      <w:szCs w:val="28"/>
    </w:rPr>
  </w:style>
  <w:style w:type="paragraph" w:styleId="Heading2">
    <w:name w:val="Heading 2"/>
    <w:basedOn w:val="Normal"/>
    <w:next w:val="Normal"/>
    <w:qFormat/>
    <w:pPr>
      <w:spacing w:after="100" w:before="220"/>
    </w:pPr>
    <w:rPr>
      <w:rFonts w:ascii="Calibri" w:cs="Calibri" w:eastAsia="Calibri" w:hAnsi="Calibri"/>
      <w:b/>
      <w:bCs/>
      <w:color w:val="1F386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2026-07-31T03:48:18.487Z</dcterms:created>
  <dcterms:modified xsi:type="dcterms:W3CDTF">2026-07-31T03:48:18.501Z</dcterms:modified>
</cp:coreProperties>
</file>

<file path=docProps/custom.xml><?xml version="1.0" encoding="utf-8"?>
<Properties xmlns="http://schemas.openxmlformats.org/officeDocument/2006/custom-properties" xmlns:vt="http://schemas.openxmlformats.org/officeDocument/2006/docPropsVTypes"/>
</file>